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DE199" w14:textId="77777777" w:rsidR="0077212A" w:rsidRPr="001274CE" w:rsidRDefault="0077212A" w:rsidP="00832EE5">
      <w:pPr>
        <w:spacing w:before="100" w:beforeAutospacing="1" w:afterLines="160" w:after="384"/>
        <w:jc w:val="center"/>
        <w:rPr>
          <w:rFonts w:ascii="Arial" w:eastAsia="Calibri" w:hAnsi="Arial" w:cs="Arial"/>
          <w:sz w:val="14"/>
          <w:szCs w:val="32"/>
        </w:rPr>
      </w:pPr>
    </w:p>
    <w:p w14:paraId="02D4ABD6" w14:textId="77777777" w:rsidR="00F921D3" w:rsidRDefault="00BE5DAF" w:rsidP="0077212A">
      <w:pPr>
        <w:spacing w:afterLines="160" w:after="384"/>
        <w:jc w:val="center"/>
        <w:rPr>
          <w:rFonts w:ascii="Arial" w:eastAsia="Calibri" w:hAnsi="Arial" w:cs="Arial"/>
          <w:sz w:val="32"/>
          <w:szCs w:val="32"/>
        </w:rPr>
      </w:pPr>
      <w:bookmarkStart w:id="0" w:name="_GoBack"/>
      <w:r>
        <w:rPr>
          <w:rFonts w:ascii="Arial" w:eastAsia="Calibri" w:hAnsi="Arial" w:cs="Arial"/>
          <w:sz w:val="32"/>
          <w:szCs w:val="32"/>
        </w:rPr>
        <w:t>Risk</w:t>
      </w:r>
      <w:r w:rsidR="002E6941">
        <w:rPr>
          <w:rFonts w:ascii="Arial" w:eastAsia="Calibri" w:hAnsi="Arial" w:cs="Arial"/>
          <w:sz w:val="32"/>
          <w:szCs w:val="32"/>
        </w:rPr>
        <w:t>s</w:t>
      </w:r>
      <w:r>
        <w:rPr>
          <w:rFonts w:ascii="Arial" w:eastAsia="Calibri" w:hAnsi="Arial" w:cs="Arial"/>
          <w:sz w:val="32"/>
          <w:szCs w:val="32"/>
        </w:rPr>
        <w:t xml:space="preserve"> of purchasing property after separation and before financial settlement</w:t>
      </w:r>
      <w:bookmarkEnd w:id="0"/>
    </w:p>
    <w:p w14:paraId="33D0F0F5" w14:textId="77777777" w:rsidR="002E6941" w:rsidRDefault="00BE5DAF" w:rsidP="00425D6F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If you have </w:t>
      </w:r>
      <w:r w:rsidR="00DE02E1">
        <w:rPr>
          <w:rFonts w:ascii="Arial" w:eastAsia="Calibri" w:hAnsi="Arial" w:cs="Arial"/>
          <w:sz w:val="24"/>
          <w:szCs w:val="24"/>
        </w:rPr>
        <w:t xml:space="preserve">recently </w:t>
      </w:r>
      <w:r>
        <w:rPr>
          <w:rFonts w:ascii="Arial" w:eastAsia="Calibri" w:hAnsi="Arial" w:cs="Arial"/>
          <w:sz w:val="24"/>
          <w:szCs w:val="24"/>
        </w:rPr>
        <w:t xml:space="preserve">separated and </w:t>
      </w:r>
      <w:r w:rsidR="00B41324">
        <w:rPr>
          <w:rFonts w:ascii="Arial" w:eastAsia="Calibri" w:hAnsi="Arial" w:cs="Arial"/>
          <w:sz w:val="24"/>
          <w:szCs w:val="24"/>
        </w:rPr>
        <w:t>wish to move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E6941">
        <w:rPr>
          <w:rFonts w:ascii="Arial" w:eastAsia="Calibri" w:hAnsi="Arial" w:cs="Arial"/>
          <w:sz w:val="24"/>
          <w:szCs w:val="24"/>
        </w:rPr>
        <w:t>on</w:t>
      </w:r>
      <w:r>
        <w:rPr>
          <w:rFonts w:ascii="Arial" w:eastAsia="Calibri" w:hAnsi="Arial" w:cs="Arial"/>
          <w:sz w:val="24"/>
          <w:szCs w:val="24"/>
        </w:rPr>
        <w:t xml:space="preserve"> with your financial matters, it is important to close off on your previous property affairs with your ex-partner first. </w:t>
      </w:r>
    </w:p>
    <w:p w14:paraId="71B8B408" w14:textId="77777777" w:rsidR="004A4079" w:rsidRDefault="00BE5DAF" w:rsidP="00425D6F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Whilst it might be tempting to purchase real estate or other assets, particularly if you find a ‘great buy’, there can be </w:t>
      </w:r>
      <w:r w:rsidR="007D49CC">
        <w:rPr>
          <w:rFonts w:ascii="Arial" w:eastAsia="Calibri" w:hAnsi="Arial" w:cs="Arial"/>
          <w:sz w:val="24"/>
          <w:szCs w:val="24"/>
        </w:rPr>
        <w:t xml:space="preserve">issues if you do so before finalising </w:t>
      </w:r>
      <w:r>
        <w:rPr>
          <w:rFonts w:ascii="Arial" w:eastAsia="Calibri" w:hAnsi="Arial" w:cs="Arial"/>
          <w:sz w:val="24"/>
          <w:szCs w:val="24"/>
        </w:rPr>
        <w:t>property matters with your ex.</w:t>
      </w:r>
    </w:p>
    <w:p w14:paraId="55DF7D42" w14:textId="77777777" w:rsidR="00BE5DAF" w:rsidRPr="002E6941" w:rsidRDefault="00BE5DAF" w:rsidP="00425D6F">
      <w:pPr>
        <w:spacing w:before="100" w:beforeAutospacing="1" w:afterLines="160" w:after="384"/>
        <w:rPr>
          <w:rFonts w:ascii="Arial" w:eastAsia="Calibri" w:hAnsi="Arial" w:cs="Arial"/>
          <w:b/>
          <w:sz w:val="24"/>
          <w:szCs w:val="24"/>
        </w:rPr>
      </w:pPr>
      <w:r w:rsidRPr="002E6941">
        <w:rPr>
          <w:rFonts w:ascii="Arial" w:eastAsia="Calibri" w:hAnsi="Arial" w:cs="Arial"/>
          <w:b/>
          <w:sz w:val="24"/>
          <w:szCs w:val="24"/>
        </w:rPr>
        <w:t>What are the issues?</w:t>
      </w:r>
    </w:p>
    <w:p w14:paraId="79D52B9C" w14:textId="77777777" w:rsidR="002E6941" w:rsidRDefault="00145DFD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 w:rsidRPr="000E0DA7">
        <w:rPr>
          <w:rFonts w:ascii="Arial" w:hAnsi="Arial" w:cs="Arial"/>
          <w:sz w:val="24"/>
          <w:szCs w:val="24"/>
        </w:rPr>
        <w:t xml:space="preserve">The </w:t>
      </w:r>
      <w:r w:rsidRPr="000E0DA7">
        <w:rPr>
          <w:rFonts w:ascii="Arial" w:hAnsi="Arial" w:cs="Arial"/>
          <w:i/>
          <w:sz w:val="24"/>
          <w:szCs w:val="24"/>
        </w:rPr>
        <w:t>Family Law Act 1975</w:t>
      </w:r>
      <w:r w:rsidRPr="000E0DA7">
        <w:rPr>
          <w:rFonts w:ascii="Arial" w:hAnsi="Arial" w:cs="Arial"/>
          <w:sz w:val="24"/>
          <w:szCs w:val="24"/>
        </w:rPr>
        <w:t xml:space="preserve"> (Cth) requires parties to make genuine efforts to resolve disputes</w:t>
      </w:r>
      <w:r w:rsidR="002E6941">
        <w:rPr>
          <w:rFonts w:ascii="Arial" w:hAnsi="Arial" w:cs="Arial"/>
          <w:sz w:val="24"/>
          <w:szCs w:val="24"/>
        </w:rPr>
        <w:t xml:space="preserve"> and to follow pre-action procedures before commencing Court proceedings.</w:t>
      </w:r>
    </w:p>
    <w:p w14:paraId="01F6E953" w14:textId="77777777" w:rsidR="00145DFD" w:rsidRPr="002E6941" w:rsidRDefault="002E694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 of this process includes </w:t>
      </w:r>
      <w:r w:rsidR="007D49C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duty of disclosure </w:t>
      </w:r>
      <w:r w:rsidR="00B4132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parties </w:t>
      </w:r>
      <w:r w:rsidR="00B41324"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exchange </w:t>
      </w:r>
      <w:r w:rsidR="00145DFD" w:rsidRPr="000E0DA7">
        <w:rPr>
          <w:rFonts w:ascii="Arial" w:eastAsia="Calibri" w:hAnsi="Arial" w:cs="Arial"/>
          <w:sz w:val="24"/>
          <w:szCs w:val="24"/>
        </w:rPr>
        <w:t>information and documents (whether or not these are known to both parties) that are relevant to an issue in the case.</w:t>
      </w:r>
    </w:p>
    <w:p w14:paraId="7861CD1F" w14:textId="77777777" w:rsidR="00145DFD" w:rsidRDefault="00145DFD" w:rsidP="00425D6F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 w:rsidRPr="000E0DA7">
        <w:rPr>
          <w:rFonts w:ascii="Arial" w:eastAsia="Calibri" w:hAnsi="Arial" w:cs="Arial"/>
          <w:sz w:val="24"/>
          <w:szCs w:val="24"/>
        </w:rPr>
        <w:t>The disclosure obligations exist from the beginning of the matter and continue until the case is resolved. This means that a party must disclose new information when</w:t>
      </w:r>
      <w:r w:rsidR="00B41324">
        <w:rPr>
          <w:rFonts w:ascii="Arial" w:eastAsia="Calibri" w:hAnsi="Arial" w:cs="Arial"/>
          <w:sz w:val="24"/>
          <w:szCs w:val="24"/>
        </w:rPr>
        <w:t xml:space="preserve"> certain </w:t>
      </w:r>
      <w:r w:rsidRPr="000E0DA7">
        <w:rPr>
          <w:rFonts w:ascii="Arial" w:eastAsia="Calibri" w:hAnsi="Arial" w:cs="Arial"/>
          <w:sz w:val="24"/>
          <w:szCs w:val="24"/>
        </w:rPr>
        <w:t>circumstances change</w:t>
      </w:r>
      <w:r w:rsidR="00B41324">
        <w:rPr>
          <w:rFonts w:ascii="Arial" w:eastAsia="Calibri" w:hAnsi="Arial" w:cs="Arial"/>
          <w:sz w:val="24"/>
          <w:szCs w:val="24"/>
        </w:rPr>
        <w:t xml:space="preserve"> or further documents</w:t>
      </w:r>
      <w:r w:rsidRPr="000E0DA7">
        <w:rPr>
          <w:rFonts w:ascii="Arial" w:eastAsia="Calibri" w:hAnsi="Arial" w:cs="Arial"/>
          <w:sz w:val="24"/>
          <w:szCs w:val="24"/>
        </w:rPr>
        <w:t xml:space="preserve"> that</w:t>
      </w:r>
      <w:r w:rsidR="00B41324">
        <w:rPr>
          <w:rFonts w:ascii="Arial" w:eastAsia="Calibri" w:hAnsi="Arial" w:cs="Arial"/>
          <w:sz w:val="24"/>
          <w:szCs w:val="24"/>
        </w:rPr>
        <w:t xml:space="preserve"> come to a</w:t>
      </w:r>
      <w:r w:rsidRPr="000E0DA7">
        <w:rPr>
          <w:rFonts w:ascii="Arial" w:eastAsia="Calibri" w:hAnsi="Arial" w:cs="Arial"/>
          <w:sz w:val="24"/>
          <w:szCs w:val="24"/>
        </w:rPr>
        <w:t xml:space="preserve"> pe</w:t>
      </w:r>
      <w:r w:rsidR="00B41324">
        <w:rPr>
          <w:rFonts w:ascii="Arial" w:eastAsia="Calibri" w:hAnsi="Arial" w:cs="Arial"/>
          <w:sz w:val="24"/>
          <w:szCs w:val="24"/>
        </w:rPr>
        <w:t>rson’s attention</w:t>
      </w:r>
      <w:r w:rsidRPr="000E0DA7">
        <w:rPr>
          <w:rFonts w:ascii="Arial" w:eastAsia="Calibri" w:hAnsi="Arial" w:cs="Arial"/>
          <w:sz w:val="24"/>
          <w:szCs w:val="24"/>
        </w:rPr>
        <w:t>.</w:t>
      </w:r>
    </w:p>
    <w:p w14:paraId="5B071267" w14:textId="77777777" w:rsidR="00314975" w:rsidRDefault="00314975" w:rsidP="00425D6F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 w:rsidRPr="000E0DA7">
        <w:rPr>
          <w:rFonts w:ascii="Arial" w:eastAsia="Calibri" w:hAnsi="Arial" w:cs="Arial"/>
          <w:sz w:val="24"/>
          <w:szCs w:val="24"/>
        </w:rPr>
        <w:t xml:space="preserve">Disclosure is </w:t>
      </w:r>
      <w:r w:rsidR="00B41324">
        <w:rPr>
          <w:rFonts w:ascii="Arial" w:eastAsia="Calibri" w:hAnsi="Arial" w:cs="Arial"/>
          <w:sz w:val="24"/>
          <w:szCs w:val="24"/>
        </w:rPr>
        <w:t>important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E0DA7">
        <w:rPr>
          <w:rFonts w:ascii="Arial" w:eastAsia="Calibri" w:hAnsi="Arial" w:cs="Arial"/>
          <w:sz w:val="24"/>
          <w:szCs w:val="24"/>
        </w:rPr>
        <w:t xml:space="preserve">so that an understanding of the parties’ asset pool can be </w:t>
      </w:r>
      <w:proofErr w:type="gramStart"/>
      <w:r w:rsidRPr="000E0DA7">
        <w:rPr>
          <w:rFonts w:ascii="Arial" w:eastAsia="Calibri" w:hAnsi="Arial" w:cs="Arial"/>
          <w:sz w:val="24"/>
          <w:szCs w:val="24"/>
        </w:rPr>
        <w:t>ascertained</w:t>
      </w:r>
      <w:proofErr w:type="gramEnd"/>
      <w:r w:rsidRPr="000E0D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and the parties properly advised of their legal rights and entitlements.</w:t>
      </w:r>
    </w:p>
    <w:p w14:paraId="3959D8CD" w14:textId="77777777" w:rsidR="007D49CC" w:rsidRDefault="007D49CC" w:rsidP="00425D6F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acquisition of a new property will certainly fall within the disclosure requirements whether or not you consider your ex-partner </w:t>
      </w:r>
      <w:r w:rsidR="00314975">
        <w:rPr>
          <w:rFonts w:ascii="Arial" w:eastAsia="Calibri" w:hAnsi="Arial" w:cs="Arial"/>
          <w:sz w:val="24"/>
          <w:szCs w:val="24"/>
        </w:rPr>
        <w:t>should</w:t>
      </w:r>
      <w:r>
        <w:rPr>
          <w:rFonts w:ascii="Arial" w:eastAsia="Calibri" w:hAnsi="Arial" w:cs="Arial"/>
          <w:sz w:val="24"/>
          <w:szCs w:val="24"/>
        </w:rPr>
        <w:t xml:space="preserve"> be privy to</w:t>
      </w:r>
      <w:r w:rsidR="00314975">
        <w:rPr>
          <w:rFonts w:ascii="Arial" w:eastAsia="Calibri" w:hAnsi="Arial" w:cs="Arial"/>
          <w:sz w:val="24"/>
          <w:szCs w:val="24"/>
        </w:rPr>
        <w:t xml:space="preserve"> the</w:t>
      </w:r>
      <w:r>
        <w:rPr>
          <w:rFonts w:ascii="Arial" w:eastAsia="Calibri" w:hAnsi="Arial" w:cs="Arial"/>
          <w:sz w:val="24"/>
          <w:szCs w:val="24"/>
        </w:rPr>
        <w:t xml:space="preserve"> details. Consequently, if you purchase property, either alone or with a new partner, </w:t>
      </w:r>
      <w:r w:rsidR="00314975">
        <w:rPr>
          <w:rFonts w:ascii="Arial" w:eastAsia="Calibri" w:hAnsi="Arial" w:cs="Arial"/>
          <w:sz w:val="24"/>
          <w:szCs w:val="24"/>
        </w:rPr>
        <w:t xml:space="preserve">this fact </w:t>
      </w:r>
      <w:r>
        <w:rPr>
          <w:rFonts w:ascii="Arial" w:eastAsia="Calibri" w:hAnsi="Arial" w:cs="Arial"/>
          <w:sz w:val="24"/>
          <w:szCs w:val="24"/>
        </w:rPr>
        <w:t xml:space="preserve">will need to be disclosed and the property will become part of the asset pool. </w:t>
      </w:r>
    </w:p>
    <w:p w14:paraId="46DF1314" w14:textId="77777777" w:rsidR="00B41324" w:rsidRDefault="007D49CC" w:rsidP="00B41324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Disclosure will mean </w:t>
      </w:r>
      <w:r w:rsidR="00DE02E1">
        <w:rPr>
          <w:rFonts w:ascii="Arial" w:eastAsia="Calibri" w:hAnsi="Arial" w:cs="Arial"/>
          <w:sz w:val="24"/>
          <w:szCs w:val="24"/>
        </w:rPr>
        <w:t xml:space="preserve">providing </w:t>
      </w:r>
      <w:r w:rsidR="00B41324">
        <w:rPr>
          <w:rFonts w:ascii="Arial" w:eastAsia="Calibri" w:hAnsi="Arial" w:cs="Arial"/>
          <w:sz w:val="24"/>
          <w:szCs w:val="24"/>
        </w:rPr>
        <w:t xml:space="preserve">the </w:t>
      </w:r>
      <w:r w:rsidR="00DE02E1">
        <w:rPr>
          <w:rFonts w:ascii="Arial" w:eastAsia="Calibri" w:hAnsi="Arial" w:cs="Arial"/>
          <w:sz w:val="24"/>
          <w:szCs w:val="24"/>
        </w:rPr>
        <w:t>address</w:t>
      </w:r>
      <w:r w:rsidR="00B41324">
        <w:rPr>
          <w:rFonts w:ascii="Arial" w:eastAsia="Calibri" w:hAnsi="Arial" w:cs="Arial"/>
          <w:sz w:val="24"/>
          <w:szCs w:val="24"/>
        </w:rPr>
        <w:t>, purchase price and</w:t>
      </w:r>
      <w:r w:rsidR="00DE02E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details of any loan or mortgage over the property, </w:t>
      </w:r>
      <w:r w:rsidR="00DE02E1">
        <w:rPr>
          <w:rFonts w:ascii="Arial" w:eastAsia="Calibri" w:hAnsi="Arial" w:cs="Arial"/>
          <w:sz w:val="24"/>
          <w:szCs w:val="24"/>
        </w:rPr>
        <w:t xml:space="preserve">and of course details of any third party who is registered on the title. </w:t>
      </w:r>
      <w:r w:rsidR="00B41324">
        <w:rPr>
          <w:rFonts w:ascii="Arial" w:eastAsia="Calibri" w:hAnsi="Arial" w:cs="Arial"/>
          <w:sz w:val="24"/>
          <w:szCs w:val="24"/>
        </w:rPr>
        <w:t>This is unlikely to be ideal however failure to disclose the new acquisition will be considered non-compliance with your obligations and may attract serious penalties.</w:t>
      </w:r>
    </w:p>
    <w:p w14:paraId="76EBC19A" w14:textId="77777777" w:rsidR="00314975" w:rsidRDefault="00B41324" w:rsidP="00425D6F">
      <w:pPr>
        <w:spacing w:before="100" w:beforeAutospacing="1" w:afterLines="160" w:after="3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Whilst the </w:t>
      </w:r>
      <w:r w:rsidR="00314975">
        <w:rPr>
          <w:rFonts w:ascii="Arial" w:eastAsia="Calibri" w:hAnsi="Arial" w:cs="Arial"/>
          <w:sz w:val="24"/>
          <w:szCs w:val="24"/>
        </w:rPr>
        <w:t>Court has a discretionary role in family law matters and will take into consideration the circumst</w:t>
      </w:r>
      <w:r>
        <w:rPr>
          <w:rFonts w:ascii="Arial" w:eastAsia="Calibri" w:hAnsi="Arial" w:cs="Arial"/>
          <w:sz w:val="24"/>
          <w:szCs w:val="24"/>
        </w:rPr>
        <w:t xml:space="preserve">ances and financial contributions towards the new asset, it is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safer to be </w:t>
      </w:r>
      <w:r w:rsidR="00314975">
        <w:rPr>
          <w:rFonts w:ascii="Arial" w:eastAsia="Calibri" w:hAnsi="Arial" w:cs="Arial"/>
          <w:sz w:val="24"/>
          <w:szCs w:val="24"/>
        </w:rPr>
        <w:t xml:space="preserve">certain that the acquisition of </w:t>
      </w:r>
      <w:r>
        <w:rPr>
          <w:rFonts w:ascii="Arial" w:eastAsia="Calibri" w:hAnsi="Arial" w:cs="Arial"/>
          <w:sz w:val="24"/>
          <w:szCs w:val="24"/>
        </w:rPr>
        <w:t>new</w:t>
      </w:r>
      <w:r w:rsidR="00314975">
        <w:rPr>
          <w:rFonts w:ascii="Arial" w:eastAsia="Calibri" w:hAnsi="Arial" w:cs="Arial"/>
          <w:sz w:val="24"/>
          <w:szCs w:val="24"/>
        </w:rPr>
        <w:t xml:space="preserve"> property does not adversely affect your property</w:t>
      </w:r>
      <w:r>
        <w:rPr>
          <w:rFonts w:ascii="Arial" w:eastAsia="Calibri" w:hAnsi="Arial" w:cs="Arial"/>
          <w:sz w:val="24"/>
          <w:szCs w:val="24"/>
        </w:rPr>
        <w:t xml:space="preserve"> settlement rights. Consequently,</w:t>
      </w:r>
      <w:r w:rsidR="00314975">
        <w:rPr>
          <w:rFonts w:ascii="Arial" w:eastAsia="Calibri" w:hAnsi="Arial" w:cs="Arial"/>
          <w:sz w:val="24"/>
          <w:szCs w:val="24"/>
        </w:rPr>
        <w:t xml:space="preserve"> it is advisable to wait for a clean break before jumping into the market again.</w:t>
      </w:r>
    </w:p>
    <w:p w14:paraId="4D6F1AE5" w14:textId="77777777" w:rsidR="007D49CC" w:rsidRPr="007D49CC" w:rsidRDefault="00314975" w:rsidP="00425D6F">
      <w:pPr>
        <w:spacing w:before="100" w:beforeAutospacing="1" w:afterLines="160" w:after="38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Settling your financial affairs out of Court</w:t>
      </w:r>
    </w:p>
    <w:p w14:paraId="3A679709" w14:textId="77777777" w:rsidR="00DE02E1" w:rsidRDefault="002E694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Even if you and your ex-partner agree on how your property should be divided it is important to </w:t>
      </w:r>
      <w:r w:rsidR="007D49CC">
        <w:rPr>
          <w:rFonts w:ascii="Arial" w:eastAsia="Calibri" w:hAnsi="Arial" w:cs="Arial"/>
          <w:sz w:val="24"/>
          <w:szCs w:val="24"/>
        </w:rPr>
        <w:t>formalise</w:t>
      </w:r>
      <w:r w:rsidR="00314975">
        <w:rPr>
          <w:rFonts w:ascii="Arial" w:eastAsia="Calibri" w:hAnsi="Arial" w:cs="Arial"/>
          <w:sz w:val="24"/>
          <w:szCs w:val="24"/>
        </w:rPr>
        <w:t xml:space="preserve"> your negotiations through </w:t>
      </w:r>
      <w:r w:rsidR="00DE02E1">
        <w:rPr>
          <w:rFonts w:ascii="Arial" w:eastAsia="Calibri" w:hAnsi="Arial" w:cs="Arial"/>
          <w:sz w:val="24"/>
          <w:szCs w:val="24"/>
        </w:rPr>
        <w:t>a</w:t>
      </w:r>
      <w:r w:rsidR="00DE02E1" w:rsidRPr="000E0DA7">
        <w:rPr>
          <w:rFonts w:ascii="Arial" w:hAnsi="Arial" w:cs="Arial"/>
          <w:sz w:val="24"/>
          <w:szCs w:val="24"/>
        </w:rPr>
        <w:t xml:space="preserve"> financial agreement</w:t>
      </w:r>
      <w:r w:rsidR="00DE02E1">
        <w:rPr>
          <w:rFonts w:ascii="Arial" w:hAnsi="Arial" w:cs="Arial"/>
          <w:sz w:val="24"/>
          <w:szCs w:val="24"/>
        </w:rPr>
        <w:t xml:space="preserve"> or by filing </w:t>
      </w:r>
      <w:r w:rsidR="00DE02E1" w:rsidRPr="000E0DA7">
        <w:rPr>
          <w:rFonts w:ascii="Arial" w:hAnsi="Arial" w:cs="Arial"/>
          <w:sz w:val="24"/>
          <w:szCs w:val="24"/>
        </w:rPr>
        <w:t xml:space="preserve">consent orders </w:t>
      </w:r>
      <w:r w:rsidR="00DE02E1">
        <w:rPr>
          <w:rFonts w:ascii="Arial" w:hAnsi="Arial" w:cs="Arial"/>
          <w:sz w:val="24"/>
          <w:szCs w:val="24"/>
        </w:rPr>
        <w:t>in the Court.</w:t>
      </w:r>
    </w:p>
    <w:p w14:paraId="331A17ED" w14:textId="77777777" w:rsidR="007D49CC" w:rsidRDefault="007D49CC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6E0473">
        <w:rPr>
          <w:rFonts w:ascii="Arial" w:hAnsi="Arial" w:cs="Arial"/>
          <w:b/>
          <w:sz w:val="24"/>
          <w:szCs w:val="24"/>
        </w:rPr>
        <w:t>financial agreement</w:t>
      </w:r>
      <w:r w:rsidRPr="002E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(often</w:t>
      </w:r>
      <w:r w:rsidRPr="002E6541">
        <w:rPr>
          <w:rFonts w:ascii="Arial" w:hAnsi="Arial" w:cs="Arial"/>
          <w:sz w:val="24"/>
          <w:szCs w:val="24"/>
        </w:rPr>
        <w:t xml:space="preserve"> referred to as </w:t>
      </w:r>
      <w:r>
        <w:rPr>
          <w:rFonts w:ascii="Arial" w:hAnsi="Arial" w:cs="Arial"/>
          <w:sz w:val="24"/>
          <w:szCs w:val="24"/>
        </w:rPr>
        <w:t xml:space="preserve">a </w:t>
      </w:r>
      <w:r w:rsidRPr="002E6541">
        <w:rPr>
          <w:rFonts w:ascii="Arial" w:hAnsi="Arial" w:cs="Arial"/>
          <w:sz w:val="24"/>
          <w:szCs w:val="24"/>
        </w:rPr>
        <w:t>binding financial agreement</w:t>
      </w:r>
      <w:r>
        <w:rPr>
          <w:rFonts w:ascii="Arial" w:hAnsi="Arial" w:cs="Arial"/>
          <w:sz w:val="24"/>
          <w:szCs w:val="24"/>
        </w:rPr>
        <w:t>) formalises how property is to be divided</w:t>
      </w:r>
      <w:r w:rsidR="00B41324">
        <w:rPr>
          <w:rFonts w:ascii="Arial" w:hAnsi="Arial" w:cs="Arial"/>
          <w:sz w:val="24"/>
          <w:szCs w:val="24"/>
        </w:rPr>
        <w:t xml:space="preserve">. The agreement may include </w:t>
      </w:r>
      <w:r>
        <w:rPr>
          <w:rFonts w:ascii="Arial" w:hAnsi="Arial" w:cs="Arial"/>
          <w:sz w:val="24"/>
          <w:szCs w:val="24"/>
        </w:rPr>
        <w:t>the transfer or sale</w:t>
      </w:r>
      <w:r w:rsidR="00314975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>real estate</w:t>
      </w:r>
      <w:r w:rsidR="00314975">
        <w:rPr>
          <w:rFonts w:ascii="Arial" w:hAnsi="Arial" w:cs="Arial"/>
          <w:sz w:val="24"/>
          <w:szCs w:val="24"/>
        </w:rPr>
        <w:t xml:space="preserve"> or other </w:t>
      </w:r>
      <w:r>
        <w:rPr>
          <w:rFonts w:ascii="Arial" w:hAnsi="Arial" w:cs="Arial"/>
          <w:sz w:val="24"/>
          <w:szCs w:val="24"/>
        </w:rPr>
        <w:t xml:space="preserve">assets, </w:t>
      </w:r>
      <w:r w:rsidR="00314975">
        <w:rPr>
          <w:rFonts w:ascii="Arial" w:hAnsi="Arial" w:cs="Arial"/>
          <w:sz w:val="24"/>
          <w:szCs w:val="24"/>
        </w:rPr>
        <w:t xml:space="preserve">the distribution of proceeds from the sale, </w:t>
      </w:r>
      <w:r w:rsidR="006E0473">
        <w:rPr>
          <w:rFonts w:ascii="Arial" w:hAnsi="Arial" w:cs="Arial"/>
          <w:sz w:val="24"/>
          <w:szCs w:val="24"/>
        </w:rPr>
        <w:t>the paying out and closing of credit cards or other loan accounts, the transfer of liabilities between the parties and the ongoing p</w:t>
      </w:r>
      <w:r w:rsidR="00314975">
        <w:rPr>
          <w:rFonts w:ascii="Arial" w:hAnsi="Arial" w:cs="Arial"/>
          <w:sz w:val="24"/>
          <w:szCs w:val="24"/>
        </w:rPr>
        <w:t>ayment towards certain expense</w:t>
      </w:r>
      <w:r w:rsidR="00B41324">
        <w:rPr>
          <w:rFonts w:ascii="Arial" w:hAnsi="Arial" w:cs="Arial"/>
          <w:sz w:val="24"/>
          <w:szCs w:val="24"/>
        </w:rPr>
        <w:t>s</w:t>
      </w:r>
      <w:r w:rsidR="00314975">
        <w:rPr>
          <w:rFonts w:ascii="Arial" w:hAnsi="Arial" w:cs="Arial"/>
          <w:sz w:val="24"/>
          <w:szCs w:val="24"/>
        </w:rPr>
        <w:t>.</w:t>
      </w:r>
    </w:p>
    <w:p w14:paraId="0B14A8E8" w14:textId="77777777" w:rsidR="007D49CC" w:rsidRPr="002E6541" w:rsidRDefault="007D49CC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 w:rsidRPr="002E6541">
        <w:rPr>
          <w:rFonts w:ascii="Arial" w:hAnsi="Arial" w:cs="Arial"/>
          <w:sz w:val="24"/>
          <w:szCs w:val="24"/>
        </w:rPr>
        <w:t>When negotiating the agreement, parties must be honest in their dealings and give pr</w:t>
      </w:r>
      <w:r w:rsidR="00B41324">
        <w:rPr>
          <w:rFonts w:ascii="Arial" w:hAnsi="Arial" w:cs="Arial"/>
          <w:sz w:val="24"/>
          <w:szCs w:val="24"/>
        </w:rPr>
        <w:t>oper disclosure of their assets and</w:t>
      </w:r>
      <w:r w:rsidRPr="002E6541">
        <w:rPr>
          <w:rFonts w:ascii="Arial" w:hAnsi="Arial" w:cs="Arial"/>
          <w:sz w:val="24"/>
          <w:szCs w:val="24"/>
        </w:rPr>
        <w:t xml:space="preserve"> financial resources.</w:t>
      </w:r>
    </w:p>
    <w:p w14:paraId="32A07C89" w14:textId="77777777" w:rsidR="007D49CC" w:rsidRPr="002E6541" w:rsidRDefault="00B41324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party must obtain independent legal advice and, i</w:t>
      </w:r>
      <w:r w:rsidR="007D49CC" w:rsidRPr="002E6541">
        <w:rPr>
          <w:rFonts w:ascii="Arial" w:hAnsi="Arial" w:cs="Arial"/>
          <w:sz w:val="24"/>
          <w:szCs w:val="24"/>
        </w:rPr>
        <w:t xml:space="preserve">f </w:t>
      </w:r>
      <w:r w:rsidR="00425D6F">
        <w:rPr>
          <w:rFonts w:ascii="Arial" w:hAnsi="Arial" w:cs="Arial"/>
          <w:sz w:val="24"/>
          <w:szCs w:val="24"/>
        </w:rPr>
        <w:t>prepared in accordance with the statutory requirements,</w:t>
      </w:r>
      <w:r w:rsidR="007D49CC" w:rsidRPr="002E6541">
        <w:rPr>
          <w:rFonts w:ascii="Arial" w:hAnsi="Arial" w:cs="Arial"/>
          <w:sz w:val="24"/>
          <w:szCs w:val="24"/>
        </w:rPr>
        <w:t xml:space="preserve"> financial agreements can be a less formal and cost</w:t>
      </w:r>
      <w:r w:rsidR="00425D6F">
        <w:rPr>
          <w:rFonts w:ascii="Arial" w:hAnsi="Arial" w:cs="Arial"/>
          <w:sz w:val="24"/>
          <w:szCs w:val="24"/>
        </w:rPr>
        <w:t>-</w:t>
      </w:r>
      <w:r w:rsidR="007D49CC" w:rsidRPr="002E6541">
        <w:rPr>
          <w:rFonts w:ascii="Arial" w:hAnsi="Arial" w:cs="Arial"/>
          <w:sz w:val="24"/>
          <w:szCs w:val="24"/>
        </w:rPr>
        <w:t>effective solution to dividing property.</w:t>
      </w:r>
      <w:r w:rsidR="00425D6F">
        <w:rPr>
          <w:rFonts w:ascii="Arial" w:hAnsi="Arial" w:cs="Arial"/>
          <w:sz w:val="24"/>
          <w:szCs w:val="24"/>
        </w:rPr>
        <w:t xml:space="preserve"> The agreement will be binding on the parties with the same force as any other contract.</w:t>
      </w:r>
    </w:p>
    <w:p w14:paraId="51D66CB5" w14:textId="77777777" w:rsidR="00DE02E1" w:rsidRPr="002E6541" w:rsidRDefault="006E0473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</w:t>
      </w:r>
      <w:r w:rsidR="00DE02E1" w:rsidRPr="002E6541">
        <w:rPr>
          <w:rFonts w:ascii="Arial" w:hAnsi="Arial" w:cs="Arial"/>
          <w:sz w:val="24"/>
          <w:szCs w:val="24"/>
        </w:rPr>
        <w:t xml:space="preserve">separating couples </w:t>
      </w:r>
      <w:r>
        <w:rPr>
          <w:rFonts w:ascii="Arial" w:hAnsi="Arial" w:cs="Arial"/>
          <w:sz w:val="24"/>
          <w:szCs w:val="24"/>
        </w:rPr>
        <w:t xml:space="preserve">may be advised to have </w:t>
      </w:r>
      <w:r w:rsidR="00425D6F">
        <w:rPr>
          <w:rFonts w:ascii="Arial" w:hAnsi="Arial" w:cs="Arial"/>
          <w:sz w:val="24"/>
          <w:szCs w:val="24"/>
        </w:rPr>
        <w:t>their agreement</w:t>
      </w:r>
      <w:r w:rsidR="00DE02E1" w:rsidRPr="002E6541">
        <w:rPr>
          <w:rFonts w:ascii="Arial" w:hAnsi="Arial" w:cs="Arial"/>
          <w:sz w:val="24"/>
          <w:szCs w:val="24"/>
        </w:rPr>
        <w:t xml:space="preserve"> endorsed by the Court through </w:t>
      </w:r>
      <w:r w:rsidR="00DE02E1" w:rsidRPr="006E0473">
        <w:rPr>
          <w:rFonts w:ascii="Arial" w:hAnsi="Arial" w:cs="Arial"/>
          <w:b/>
          <w:sz w:val="24"/>
          <w:szCs w:val="24"/>
        </w:rPr>
        <w:t>consent orders</w:t>
      </w:r>
      <w:r w:rsidR="00DE02E1" w:rsidRPr="002E6541">
        <w:rPr>
          <w:rFonts w:ascii="Arial" w:hAnsi="Arial" w:cs="Arial"/>
          <w:sz w:val="24"/>
          <w:szCs w:val="24"/>
        </w:rPr>
        <w:t>. This is</w:t>
      </w:r>
      <w:r w:rsidR="00425D6F">
        <w:rPr>
          <w:rFonts w:ascii="Arial" w:hAnsi="Arial" w:cs="Arial"/>
          <w:sz w:val="24"/>
          <w:szCs w:val="24"/>
        </w:rPr>
        <w:t xml:space="preserve"> a</w:t>
      </w:r>
      <w:r w:rsidR="00DE02E1" w:rsidRPr="002E6541">
        <w:rPr>
          <w:rFonts w:ascii="Arial" w:hAnsi="Arial" w:cs="Arial"/>
          <w:sz w:val="24"/>
          <w:szCs w:val="24"/>
        </w:rPr>
        <w:t xml:space="preserve"> more formal </w:t>
      </w:r>
      <w:r w:rsidR="00425D6F">
        <w:rPr>
          <w:rFonts w:ascii="Arial" w:hAnsi="Arial" w:cs="Arial"/>
          <w:sz w:val="24"/>
          <w:szCs w:val="24"/>
        </w:rPr>
        <w:t>process beca</w:t>
      </w:r>
      <w:r w:rsidR="00DE02E1" w:rsidRPr="002E6541">
        <w:rPr>
          <w:rFonts w:ascii="Arial" w:hAnsi="Arial" w:cs="Arial"/>
          <w:sz w:val="24"/>
          <w:szCs w:val="24"/>
        </w:rPr>
        <w:t xml:space="preserve">use the Court will need to approve the </w:t>
      </w:r>
      <w:r w:rsidR="00E91C04">
        <w:rPr>
          <w:rFonts w:ascii="Arial" w:hAnsi="Arial" w:cs="Arial"/>
          <w:sz w:val="24"/>
          <w:szCs w:val="24"/>
        </w:rPr>
        <w:t xml:space="preserve">proposed </w:t>
      </w:r>
      <w:r w:rsidR="00DE02E1" w:rsidRPr="002E6541">
        <w:rPr>
          <w:rFonts w:ascii="Arial" w:hAnsi="Arial" w:cs="Arial"/>
          <w:sz w:val="24"/>
          <w:szCs w:val="24"/>
        </w:rPr>
        <w:t>orders.</w:t>
      </w:r>
    </w:p>
    <w:p w14:paraId="2A154CE6" w14:textId="77777777" w:rsidR="00DE02E1" w:rsidRPr="002E6541" w:rsidRDefault="00425D6F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DE02E1" w:rsidRPr="002E6541">
        <w:rPr>
          <w:rFonts w:ascii="Arial" w:hAnsi="Arial" w:cs="Arial"/>
          <w:sz w:val="24"/>
          <w:szCs w:val="24"/>
        </w:rPr>
        <w:t xml:space="preserve"> application for consent orders must include full financial disclosure by both parties and the Court will only approve the order</w:t>
      </w:r>
      <w:r w:rsidR="00B41324">
        <w:rPr>
          <w:rFonts w:ascii="Arial" w:hAnsi="Arial" w:cs="Arial"/>
          <w:sz w:val="24"/>
          <w:szCs w:val="24"/>
        </w:rPr>
        <w:t>s</w:t>
      </w:r>
      <w:r w:rsidR="00DE02E1" w:rsidRPr="002E6541">
        <w:rPr>
          <w:rFonts w:ascii="Arial" w:hAnsi="Arial" w:cs="Arial"/>
          <w:sz w:val="24"/>
          <w:szCs w:val="24"/>
        </w:rPr>
        <w:t xml:space="preserve"> if, on the information provided, it is just and equitable to do so.</w:t>
      </w:r>
    </w:p>
    <w:p w14:paraId="0E33D1AC" w14:textId="77777777" w:rsidR="00B41324" w:rsidRDefault="00DE02E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 w:rsidRPr="002E6541">
        <w:rPr>
          <w:rFonts w:ascii="Arial" w:hAnsi="Arial" w:cs="Arial"/>
          <w:sz w:val="24"/>
          <w:szCs w:val="24"/>
        </w:rPr>
        <w:t>Because of the Court’s involvement in</w:t>
      </w:r>
      <w:r w:rsidR="00B41324">
        <w:rPr>
          <w:rFonts w:ascii="Arial" w:hAnsi="Arial" w:cs="Arial"/>
          <w:sz w:val="24"/>
          <w:szCs w:val="24"/>
        </w:rPr>
        <w:t xml:space="preserve"> consenting to the orders, in certain circumstances, they can provide greater finality than a financial agreement.</w:t>
      </w:r>
    </w:p>
    <w:p w14:paraId="74FF7D36" w14:textId="77777777" w:rsidR="006E0473" w:rsidRPr="00425D6F" w:rsidRDefault="006E0473" w:rsidP="00425D6F">
      <w:pPr>
        <w:spacing w:before="100" w:beforeAutospacing="1" w:afterLines="160" w:after="384"/>
        <w:rPr>
          <w:rFonts w:ascii="Arial" w:hAnsi="Arial" w:cs="Arial"/>
          <w:b/>
          <w:sz w:val="24"/>
          <w:szCs w:val="24"/>
        </w:rPr>
      </w:pPr>
      <w:r w:rsidRPr="00425D6F">
        <w:rPr>
          <w:rFonts w:ascii="Arial" w:hAnsi="Arial" w:cs="Arial"/>
          <w:b/>
          <w:sz w:val="24"/>
          <w:szCs w:val="24"/>
        </w:rPr>
        <w:t>Time limits</w:t>
      </w:r>
    </w:p>
    <w:p w14:paraId="087376A2" w14:textId="77777777" w:rsidR="00145DFD" w:rsidRDefault="00145DFD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Separating parties should be aware of the time limits applicable in commencing proceedings under the </w:t>
      </w:r>
      <w:r w:rsidRPr="00145DFD">
        <w:rPr>
          <w:rFonts w:ascii="Arial" w:hAnsi="Arial" w:cs="Arial"/>
          <w:i/>
          <w:sz w:val="24"/>
          <w:szCs w:val="24"/>
        </w:rPr>
        <w:t>Family Law Act 1975</w:t>
      </w:r>
      <w:r>
        <w:rPr>
          <w:rFonts w:ascii="Arial" w:hAnsi="Arial" w:cs="Arial"/>
          <w:sz w:val="24"/>
          <w:szCs w:val="24"/>
        </w:rPr>
        <w:t xml:space="preserve"> (Cth) for a financial property settlement.</w:t>
      </w:r>
    </w:p>
    <w:p w14:paraId="509ADBA0" w14:textId="77777777" w:rsidR="00145DFD" w:rsidRDefault="00145DFD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grant of a divorce triggers a 12-month l</w:t>
      </w:r>
      <w:r w:rsidRPr="00CA34F0">
        <w:rPr>
          <w:rFonts w:ascii="Arial" w:hAnsi="Arial" w:cs="Arial"/>
          <w:sz w:val="24"/>
          <w:szCs w:val="24"/>
        </w:rPr>
        <w:t xml:space="preserve">imitation period within which to commence proceedings for property settlement or spousal maintenance. </w:t>
      </w:r>
    </w:p>
    <w:p w14:paraId="5FE85A7F" w14:textId="77777777" w:rsidR="00145DFD" w:rsidRDefault="002E694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 de facto partners, proceedings must be commenced within 2 years of separation.</w:t>
      </w:r>
    </w:p>
    <w:p w14:paraId="6FE49E03" w14:textId="77777777" w:rsidR="00425D6F" w:rsidRDefault="002E694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the Court may grant leave to apply out of the statutory time limits for extenuating circumstances, parties </w:t>
      </w:r>
      <w:r w:rsidR="00425D6F">
        <w:rPr>
          <w:rFonts w:ascii="Arial" w:hAnsi="Arial" w:cs="Arial"/>
          <w:sz w:val="24"/>
          <w:szCs w:val="24"/>
        </w:rPr>
        <w:t xml:space="preserve">should endeavour to </w:t>
      </w:r>
      <w:r>
        <w:rPr>
          <w:rFonts w:ascii="Arial" w:hAnsi="Arial" w:cs="Arial"/>
          <w:sz w:val="24"/>
          <w:szCs w:val="24"/>
        </w:rPr>
        <w:t>resolve the</w:t>
      </w:r>
      <w:r w:rsidR="00425D6F">
        <w:rPr>
          <w:rFonts w:ascii="Arial" w:hAnsi="Arial" w:cs="Arial"/>
          <w:sz w:val="24"/>
          <w:szCs w:val="24"/>
        </w:rPr>
        <w:t>ir financial affairs without delay.</w:t>
      </w:r>
    </w:p>
    <w:p w14:paraId="308EDE2A" w14:textId="77777777" w:rsidR="002E6941" w:rsidRPr="00425D6F" w:rsidRDefault="002E6941" w:rsidP="00425D6F">
      <w:pPr>
        <w:spacing w:before="100" w:beforeAutospacing="1" w:afterLines="160" w:after="384"/>
        <w:rPr>
          <w:rFonts w:ascii="Arial" w:hAnsi="Arial" w:cs="Arial"/>
          <w:b/>
          <w:sz w:val="24"/>
          <w:szCs w:val="24"/>
        </w:rPr>
      </w:pPr>
      <w:r w:rsidRPr="00425D6F">
        <w:rPr>
          <w:rFonts w:ascii="Arial" w:hAnsi="Arial" w:cs="Arial"/>
          <w:b/>
          <w:sz w:val="24"/>
          <w:szCs w:val="24"/>
        </w:rPr>
        <w:t>Conclusion</w:t>
      </w:r>
    </w:p>
    <w:p w14:paraId="73EDBB82" w14:textId="77777777" w:rsidR="00425D6F" w:rsidRDefault="002E694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 w:rsidRPr="000E0DA7">
        <w:rPr>
          <w:rFonts w:ascii="Arial" w:hAnsi="Arial" w:cs="Arial"/>
          <w:sz w:val="24"/>
          <w:szCs w:val="24"/>
        </w:rPr>
        <w:t xml:space="preserve">Full financial disclosure is essential to enable a lawyer to properly advise a party on his or her rights </w:t>
      </w:r>
      <w:r w:rsidR="00425D6F">
        <w:rPr>
          <w:rFonts w:ascii="Arial" w:hAnsi="Arial" w:cs="Arial"/>
          <w:sz w:val="24"/>
          <w:szCs w:val="24"/>
        </w:rPr>
        <w:t xml:space="preserve">or a Court to ascertain the property pool if proceedings are commenced. </w:t>
      </w:r>
    </w:p>
    <w:p w14:paraId="023F6AA8" w14:textId="77777777" w:rsidR="002E6941" w:rsidRPr="000E0DA7" w:rsidRDefault="00425D6F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E6941" w:rsidRPr="000E0DA7">
        <w:rPr>
          <w:rFonts w:ascii="Arial" w:hAnsi="Arial" w:cs="Arial"/>
          <w:sz w:val="24"/>
          <w:szCs w:val="24"/>
        </w:rPr>
        <w:t>isclosure obligations must be followed even if the parties settle their financial</w:t>
      </w:r>
      <w:r>
        <w:rPr>
          <w:rFonts w:ascii="Arial" w:hAnsi="Arial" w:cs="Arial"/>
          <w:sz w:val="24"/>
          <w:szCs w:val="24"/>
        </w:rPr>
        <w:t xml:space="preserve"> affairs without going to Court</w:t>
      </w:r>
      <w:r w:rsidR="00E91C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 parties have a</w:t>
      </w:r>
      <w:r w:rsidR="00E91C0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ongoing obligation to disclose matters until their property settlement is finalised.</w:t>
      </w:r>
    </w:p>
    <w:p w14:paraId="55EB6F65" w14:textId="77777777" w:rsidR="006E0473" w:rsidRDefault="00425D6F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decision to resist </w:t>
      </w:r>
      <w:r w:rsidR="00B41324">
        <w:rPr>
          <w:rFonts w:ascii="Arial" w:hAnsi="Arial" w:cs="Arial"/>
          <w:sz w:val="24"/>
          <w:szCs w:val="24"/>
        </w:rPr>
        <w:t>purchasing</w:t>
      </w:r>
      <w:r>
        <w:rPr>
          <w:rFonts w:ascii="Arial" w:hAnsi="Arial" w:cs="Arial"/>
          <w:sz w:val="24"/>
          <w:szCs w:val="24"/>
        </w:rPr>
        <w:t xml:space="preserve"> a s</w:t>
      </w:r>
      <w:r w:rsidR="006E0473">
        <w:rPr>
          <w:rFonts w:ascii="Arial" w:hAnsi="Arial" w:cs="Arial"/>
          <w:sz w:val="24"/>
          <w:szCs w:val="24"/>
        </w:rPr>
        <w:t>ignificant asset before you have finalised your property settlement</w:t>
      </w:r>
      <w:r>
        <w:rPr>
          <w:rFonts w:ascii="Arial" w:hAnsi="Arial" w:cs="Arial"/>
          <w:sz w:val="24"/>
          <w:szCs w:val="24"/>
        </w:rPr>
        <w:t xml:space="preserve"> is </w:t>
      </w:r>
      <w:r w:rsidR="00B41324">
        <w:rPr>
          <w:rFonts w:ascii="Arial" w:hAnsi="Arial" w:cs="Arial"/>
          <w:sz w:val="24"/>
          <w:szCs w:val="24"/>
        </w:rPr>
        <w:t>likely</w:t>
      </w:r>
      <w:r>
        <w:rPr>
          <w:rFonts w:ascii="Arial" w:hAnsi="Arial" w:cs="Arial"/>
          <w:sz w:val="24"/>
          <w:szCs w:val="24"/>
        </w:rPr>
        <w:t xml:space="preserve"> a wise choice.</w:t>
      </w:r>
    </w:p>
    <w:p w14:paraId="441D50A8" w14:textId="77777777" w:rsidR="002E6941" w:rsidRDefault="002E6941" w:rsidP="00425D6F">
      <w:pPr>
        <w:spacing w:before="100" w:beforeAutospacing="1" w:afterLines="160" w:after="384"/>
        <w:rPr>
          <w:rFonts w:ascii="Arial" w:eastAsia="Times New Roman" w:hAnsi="Arial" w:cs="Arial"/>
          <w:sz w:val="24"/>
          <w:szCs w:val="24"/>
          <w:lang w:eastAsia="en-AU"/>
        </w:rPr>
      </w:pPr>
      <w:r w:rsidRPr="00F921D3">
        <w:rPr>
          <w:rFonts w:ascii="Arial" w:eastAsia="Calibri" w:hAnsi="Arial" w:cs="Arial"/>
          <w:sz w:val="24"/>
          <w:szCs w:val="24"/>
        </w:rPr>
        <w:t xml:space="preserve">If you or someone you know </w:t>
      </w:r>
      <w:r>
        <w:rPr>
          <w:rFonts w:ascii="Arial" w:eastAsia="Calibri" w:hAnsi="Arial" w:cs="Arial"/>
          <w:sz w:val="24"/>
          <w:szCs w:val="24"/>
        </w:rPr>
        <w:t xml:space="preserve">wants more information or </w:t>
      </w:r>
      <w:r w:rsidRPr="00F921D3">
        <w:rPr>
          <w:rFonts w:ascii="Arial" w:eastAsia="Calibri" w:hAnsi="Arial" w:cs="Arial"/>
          <w:sz w:val="24"/>
          <w:szCs w:val="24"/>
        </w:rPr>
        <w:t>needs help or advice, please contact us on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832EE5">
        <w:rPr>
          <w:rFonts w:ascii="Arial" w:eastAsia="Times New Roman" w:hAnsi="Arial" w:cs="Arial"/>
          <w:sz w:val="24"/>
          <w:szCs w:val="24"/>
          <w:lang w:eastAsia="en-AU"/>
        </w:rPr>
        <w:t>07 3281 6644</w:t>
      </w:r>
      <w:r w:rsidRPr="001D33D7">
        <w:rPr>
          <w:rFonts w:ascii="Arial" w:eastAsia="Times New Roman" w:hAnsi="Arial" w:cs="Arial"/>
          <w:sz w:val="24"/>
          <w:szCs w:val="24"/>
          <w:lang w:eastAsia="en-AU"/>
        </w:rPr>
        <w:t xml:space="preserve"> or email </w:t>
      </w:r>
      <w:r w:rsidR="006B75A6">
        <w:rPr>
          <w:rFonts w:ascii="Arial" w:eastAsia="Times New Roman" w:hAnsi="Arial" w:cs="Arial"/>
          <w:sz w:val="24"/>
          <w:szCs w:val="24"/>
          <w:lang w:eastAsia="en-AU"/>
        </w:rPr>
        <w:t>mail@powerlegal.com.au</w:t>
      </w:r>
      <w:r w:rsidRPr="001D33D7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33AC1B24" w14:textId="77777777" w:rsidR="002E6941" w:rsidRDefault="002E6941" w:rsidP="00425D6F">
      <w:pPr>
        <w:spacing w:before="100" w:beforeAutospacing="1" w:afterLines="160" w:after="384"/>
        <w:rPr>
          <w:rFonts w:ascii="Arial" w:hAnsi="Arial" w:cs="Arial"/>
          <w:sz w:val="24"/>
          <w:szCs w:val="24"/>
        </w:rPr>
      </w:pPr>
    </w:p>
    <w:sectPr w:rsidR="002E6941" w:rsidSect="005606AE">
      <w:headerReference w:type="default" r:id="rId7"/>
      <w:headerReference w:type="first" r:id="rId8"/>
      <w:pgSz w:w="11906" w:h="16838"/>
      <w:pgMar w:top="1418" w:right="1134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2D65" w14:textId="77777777" w:rsidR="003A78A7" w:rsidRDefault="003A78A7" w:rsidP="000C3E47">
      <w:pPr>
        <w:spacing w:line="240" w:lineRule="auto"/>
      </w:pPr>
      <w:r>
        <w:separator/>
      </w:r>
    </w:p>
  </w:endnote>
  <w:endnote w:type="continuationSeparator" w:id="0">
    <w:p w14:paraId="7009396F" w14:textId="77777777" w:rsidR="003A78A7" w:rsidRDefault="003A78A7" w:rsidP="000C3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FA92" w14:textId="77777777" w:rsidR="003A78A7" w:rsidRDefault="003A78A7" w:rsidP="000C3E47">
      <w:pPr>
        <w:spacing w:line="240" w:lineRule="auto"/>
      </w:pPr>
      <w:r>
        <w:separator/>
      </w:r>
    </w:p>
  </w:footnote>
  <w:footnote w:type="continuationSeparator" w:id="0">
    <w:p w14:paraId="61D6F698" w14:textId="77777777" w:rsidR="003A78A7" w:rsidRDefault="003A78A7" w:rsidP="000C3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  <w:sz w:val="18"/>
        <w:szCs w:val="18"/>
      </w:rPr>
      <w:id w:val="-115930144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B0F31E1" w14:textId="77777777" w:rsidR="007D49CC" w:rsidRPr="002E0FC9" w:rsidRDefault="007D49C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18"/>
            <w:szCs w:val="18"/>
          </w:rPr>
        </w:pPr>
        <w:r w:rsidRPr="002E0FC9">
          <w:rPr>
            <w:color w:val="808080" w:themeColor="background1" w:themeShade="80"/>
            <w:spacing w:val="60"/>
            <w:sz w:val="18"/>
            <w:szCs w:val="18"/>
          </w:rPr>
          <w:t>Page</w:t>
        </w:r>
        <w:r w:rsidRPr="002E0FC9">
          <w:rPr>
            <w:sz w:val="18"/>
            <w:szCs w:val="18"/>
          </w:rPr>
          <w:t xml:space="preserve"> | </w:t>
        </w:r>
        <w:r w:rsidRPr="002E0FC9">
          <w:rPr>
            <w:sz w:val="18"/>
            <w:szCs w:val="18"/>
          </w:rPr>
          <w:fldChar w:fldCharType="begin"/>
        </w:r>
        <w:r w:rsidRPr="002E0FC9">
          <w:rPr>
            <w:sz w:val="18"/>
            <w:szCs w:val="18"/>
          </w:rPr>
          <w:instrText xml:space="preserve"> PAGE   \* MERGEFORMAT </w:instrText>
        </w:r>
        <w:r w:rsidRPr="002E0FC9">
          <w:rPr>
            <w:sz w:val="18"/>
            <w:szCs w:val="18"/>
          </w:rPr>
          <w:fldChar w:fldCharType="separate"/>
        </w:r>
        <w:r w:rsidR="002D33A3" w:rsidRPr="002D33A3">
          <w:rPr>
            <w:b/>
            <w:bCs/>
            <w:noProof/>
            <w:sz w:val="18"/>
            <w:szCs w:val="18"/>
          </w:rPr>
          <w:t>2</w:t>
        </w:r>
        <w:r w:rsidRPr="002E0FC9">
          <w:rPr>
            <w:b/>
            <w:bCs/>
            <w:noProof/>
            <w:sz w:val="18"/>
            <w:szCs w:val="18"/>
          </w:rPr>
          <w:fldChar w:fldCharType="end"/>
        </w:r>
      </w:p>
    </w:sdtContent>
  </w:sdt>
  <w:p w14:paraId="30F944A7" w14:textId="77777777" w:rsidR="007D49CC" w:rsidRDefault="007D4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3F4E8" w14:textId="77777777" w:rsidR="007D49CC" w:rsidRPr="001D33D7" w:rsidRDefault="002D33A3" w:rsidP="001D33D7">
    <w:pPr>
      <w:pStyle w:val="Header"/>
      <w:jc w:val="center"/>
    </w:pPr>
    <w:r>
      <w:rPr>
        <w:noProof/>
        <w:lang w:val="en-US"/>
      </w:rPr>
      <w:drawing>
        <wp:inline distT="0" distB="0" distL="0" distR="0" wp14:anchorId="580EC664" wp14:editId="49DDCF42">
          <wp:extent cx="3257550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968"/>
    <w:multiLevelType w:val="multilevel"/>
    <w:tmpl w:val="D20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01E35"/>
    <w:multiLevelType w:val="multilevel"/>
    <w:tmpl w:val="352891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B22"/>
    <w:multiLevelType w:val="hybridMultilevel"/>
    <w:tmpl w:val="38B6E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A39"/>
    <w:multiLevelType w:val="hybridMultilevel"/>
    <w:tmpl w:val="615C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2702B"/>
    <w:multiLevelType w:val="hybridMultilevel"/>
    <w:tmpl w:val="ED1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668"/>
    <w:multiLevelType w:val="hybridMultilevel"/>
    <w:tmpl w:val="F610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131E2"/>
    <w:multiLevelType w:val="multilevel"/>
    <w:tmpl w:val="EB0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74F3F"/>
    <w:multiLevelType w:val="hybridMultilevel"/>
    <w:tmpl w:val="CFCE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5F97"/>
    <w:multiLevelType w:val="multilevel"/>
    <w:tmpl w:val="DAFA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70271"/>
    <w:multiLevelType w:val="hybridMultilevel"/>
    <w:tmpl w:val="949A7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5E9C"/>
    <w:multiLevelType w:val="hybridMultilevel"/>
    <w:tmpl w:val="891EB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C21DC"/>
    <w:multiLevelType w:val="hybridMultilevel"/>
    <w:tmpl w:val="46E06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02845"/>
    <w:multiLevelType w:val="hybridMultilevel"/>
    <w:tmpl w:val="2FF8B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DAB"/>
    <w:multiLevelType w:val="hybridMultilevel"/>
    <w:tmpl w:val="C6CE5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C1645"/>
    <w:multiLevelType w:val="multilevel"/>
    <w:tmpl w:val="11A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906A6"/>
    <w:multiLevelType w:val="hybridMultilevel"/>
    <w:tmpl w:val="99909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71A2F"/>
    <w:multiLevelType w:val="hybridMultilevel"/>
    <w:tmpl w:val="43407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53641"/>
    <w:multiLevelType w:val="hybridMultilevel"/>
    <w:tmpl w:val="295C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6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BC"/>
    <w:rsid w:val="000046A5"/>
    <w:rsid w:val="0000708A"/>
    <w:rsid w:val="00010EB6"/>
    <w:rsid w:val="00021E54"/>
    <w:rsid w:val="00027218"/>
    <w:rsid w:val="00030D40"/>
    <w:rsid w:val="00040515"/>
    <w:rsid w:val="00046738"/>
    <w:rsid w:val="0004763D"/>
    <w:rsid w:val="0005779F"/>
    <w:rsid w:val="000628FC"/>
    <w:rsid w:val="000653A4"/>
    <w:rsid w:val="00066CF7"/>
    <w:rsid w:val="00075AF7"/>
    <w:rsid w:val="0008046D"/>
    <w:rsid w:val="00086CE1"/>
    <w:rsid w:val="00097C1D"/>
    <w:rsid w:val="000A32C4"/>
    <w:rsid w:val="000B2D0C"/>
    <w:rsid w:val="000B4850"/>
    <w:rsid w:val="000C2027"/>
    <w:rsid w:val="000C3E47"/>
    <w:rsid w:val="000C7372"/>
    <w:rsid w:val="000D5C25"/>
    <w:rsid w:val="000D5E32"/>
    <w:rsid w:val="000E1A2F"/>
    <w:rsid w:val="000E4891"/>
    <w:rsid w:val="00103C99"/>
    <w:rsid w:val="00110628"/>
    <w:rsid w:val="001108C2"/>
    <w:rsid w:val="00122B27"/>
    <w:rsid w:val="00125AB4"/>
    <w:rsid w:val="00126FF4"/>
    <w:rsid w:val="001274CE"/>
    <w:rsid w:val="0013333B"/>
    <w:rsid w:val="00134A26"/>
    <w:rsid w:val="00140736"/>
    <w:rsid w:val="00140C78"/>
    <w:rsid w:val="0014328D"/>
    <w:rsid w:val="00145DFD"/>
    <w:rsid w:val="001469F2"/>
    <w:rsid w:val="001514DD"/>
    <w:rsid w:val="001521D7"/>
    <w:rsid w:val="00154ADD"/>
    <w:rsid w:val="001579F4"/>
    <w:rsid w:val="0016694B"/>
    <w:rsid w:val="001709B0"/>
    <w:rsid w:val="00174086"/>
    <w:rsid w:val="001743D3"/>
    <w:rsid w:val="00176D41"/>
    <w:rsid w:val="00180490"/>
    <w:rsid w:val="00193272"/>
    <w:rsid w:val="001A26DD"/>
    <w:rsid w:val="001A695C"/>
    <w:rsid w:val="001C186C"/>
    <w:rsid w:val="001C28DD"/>
    <w:rsid w:val="001C5D78"/>
    <w:rsid w:val="001C5DD9"/>
    <w:rsid w:val="001C6851"/>
    <w:rsid w:val="001D19E9"/>
    <w:rsid w:val="001D33D7"/>
    <w:rsid w:val="001E1C69"/>
    <w:rsid w:val="001E2A88"/>
    <w:rsid w:val="001E756D"/>
    <w:rsid w:val="001F6FBC"/>
    <w:rsid w:val="00210B57"/>
    <w:rsid w:val="00215FC9"/>
    <w:rsid w:val="00222529"/>
    <w:rsid w:val="002226B6"/>
    <w:rsid w:val="00225B9D"/>
    <w:rsid w:val="00232F92"/>
    <w:rsid w:val="00235884"/>
    <w:rsid w:val="00240F60"/>
    <w:rsid w:val="002422CC"/>
    <w:rsid w:val="0024272C"/>
    <w:rsid w:val="002473DD"/>
    <w:rsid w:val="00253026"/>
    <w:rsid w:val="0025627E"/>
    <w:rsid w:val="00256291"/>
    <w:rsid w:val="002563D4"/>
    <w:rsid w:val="00273C03"/>
    <w:rsid w:val="002761F1"/>
    <w:rsid w:val="00276E7B"/>
    <w:rsid w:val="0027733E"/>
    <w:rsid w:val="00277D6E"/>
    <w:rsid w:val="002912A6"/>
    <w:rsid w:val="002921E5"/>
    <w:rsid w:val="002A52B5"/>
    <w:rsid w:val="002A65BC"/>
    <w:rsid w:val="002B1D75"/>
    <w:rsid w:val="002C0976"/>
    <w:rsid w:val="002D2B3F"/>
    <w:rsid w:val="002D33A3"/>
    <w:rsid w:val="002E0FC9"/>
    <w:rsid w:val="002E109C"/>
    <w:rsid w:val="002E4790"/>
    <w:rsid w:val="002E5B2B"/>
    <w:rsid w:val="002E6941"/>
    <w:rsid w:val="002F21AA"/>
    <w:rsid w:val="00300B4B"/>
    <w:rsid w:val="00303DF3"/>
    <w:rsid w:val="003103A0"/>
    <w:rsid w:val="003126EC"/>
    <w:rsid w:val="00314975"/>
    <w:rsid w:val="003177F7"/>
    <w:rsid w:val="003309F9"/>
    <w:rsid w:val="00336C44"/>
    <w:rsid w:val="00341356"/>
    <w:rsid w:val="003515DE"/>
    <w:rsid w:val="003655B3"/>
    <w:rsid w:val="0037193A"/>
    <w:rsid w:val="0037320A"/>
    <w:rsid w:val="003738FC"/>
    <w:rsid w:val="0038370F"/>
    <w:rsid w:val="00385A8D"/>
    <w:rsid w:val="003A2BEE"/>
    <w:rsid w:val="003A78A7"/>
    <w:rsid w:val="003B58CD"/>
    <w:rsid w:val="003C4BD5"/>
    <w:rsid w:val="003C61F7"/>
    <w:rsid w:val="003D30E0"/>
    <w:rsid w:val="003D7B02"/>
    <w:rsid w:val="003E15E3"/>
    <w:rsid w:val="003E193C"/>
    <w:rsid w:val="003E4FCC"/>
    <w:rsid w:val="003F2E08"/>
    <w:rsid w:val="003F6489"/>
    <w:rsid w:val="003F65C9"/>
    <w:rsid w:val="00400468"/>
    <w:rsid w:val="00401E8B"/>
    <w:rsid w:val="00410AE5"/>
    <w:rsid w:val="00413309"/>
    <w:rsid w:val="00425D6F"/>
    <w:rsid w:val="004278E6"/>
    <w:rsid w:val="004370F0"/>
    <w:rsid w:val="00447E8F"/>
    <w:rsid w:val="00452D90"/>
    <w:rsid w:val="004535D2"/>
    <w:rsid w:val="0048225E"/>
    <w:rsid w:val="004841A8"/>
    <w:rsid w:val="00484CE3"/>
    <w:rsid w:val="004A1FC5"/>
    <w:rsid w:val="004A4079"/>
    <w:rsid w:val="004B436A"/>
    <w:rsid w:val="004E0A12"/>
    <w:rsid w:val="004E2666"/>
    <w:rsid w:val="004E6B0C"/>
    <w:rsid w:val="004F2838"/>
    <w:rsid w:val="004F60FA"/>
    <w:rsid w:val="00501256"/>
    <w:rsid w:val="005068B2"/>
    <w:rsid w:val="005078A7"/>
    <w:rsid w:val="00513958"/>
    <w:rsid w:val="00514535"/>
    <w:rsid w:val="005302FB"/>
    <w:rsid w:val="00533013"/>
    <w:rsid w:val="00536F1B"/>
    <w:rsid w:val="005502AB"/>
    <w:rsid w:val="005504C9"/>
    <w:rsid w:val="0055363E"/>
    <w:rsid w:val="00553725"/>
    <w:rsid w:val="005606AE"/>
    <w:rsid w:val="00564FD1"/>
    <w:rsid w:val="005743F7"/>
    <w:rsid w:val="00581000"/>
    <w:rsid w:val="00583964"/>
    <w:rsid w:val="005864B2"/>
    <w:rsid w:val="00593E3D"/>
    <w:rsid w:val="005C0943"/>
    <w:rsid w:val="005C33FD"/>
    <w:rsid w:val="005C3EA2"/>
    <w:rsid w:val="005D1C7E"/>
    <w:rsid w:val="005D209F"/>
    <w:rsid w:val="005D4192"/>
    <w:rsid w:val="005E0558"/>
    <w:rsid w:val="005E4414"/>
    <w:rsid w:val="005F6ADF"/>
    <w:rsid w:val="005F74A1"/>
    <w:rsid w:val="00610706"/>
    <w:rsid w:val="00632229"/>
    <w:rsid w:val="00641259"/>
    <w:rsid w:val="00652602"/>
    <w:rsid w:val="00664D66"/>
    <w:rsid w:val="00666AAD"/>
    <w:rsid w:val="00667FFE"/>
    <w:rsid w:val="00670402"/>
    <w:rsid w:val="006760E5"/>
    <w:rsid w:val="00686BF2"/>
    <w:rsid w:val="006939E5"/>
    <w:rsid w:val="0069568E"/>
    <w:rsid w:val="006A03DF"/>
    <w:rsid w:val="006A399D"/>
    <w:rsid w:val="006B6345"/>
    <w:rsid w:val="006B75A6"/>
    <w:rsid w:val="006C5573"/>
    <w:rsid w:val="006D3080"/>
    <w:rsid w:val="006D73A8"/>
    <w:rsid w:val="006E0473"/>
    <w:rsid w:val="006E4884"/>
    <w:rsid w:val="006F2A83"/>
    <w:rsid w:val="006F3510"/>
    <w:rsid w:val="006F3FE5"/>
    <w:rsid w:val="007014D0"/>
    <w:rsid w:val="007018CF"/>
    <w:rsid w:val="00702361"/>
    <w:rsid w:val="00704206"/>
    <w:rsid w:val="007109B1"/>
    <w:rsid w:val="007162DC"/>
    <w:rsid w:val="00723B0D"/>
    <w:rsid w:val="00723DCD"/>
    <w:rsid w:val="007335C8"/>
    <w:rsid w:val="00746029"/>
    <w:rsid w:val="00751207"/>
    <w:rsid w:val="00760000"/>
    <w:rsid w:val="00770175"/>
    <w:rsid w:val="0077185C"/>
    <w:rsid w:val="0077212A"/>
    <w:rsid w:val="00777410"/>
    <w:rsid w:val="0079238C"/>
    <w:rsid w:val="00792E97"/>
    <w:rsid w:val="007932C3"/>
    <w:rsid w:val="00797107"/>
    <w:rsid w:val="007978BD"/>
    <w:rsid w:val="007B160D"/>
    <w:rsid w:val="007B25F2"/>
    <w:rsid w:val="007C2E3D"/>
    <w:rsid w:val="007C3CCC"/>
    <w:rsid w:val="007C4778"/>
    <w:rsid w:val="007D08BA"/>
    <w:rsid w:val="007D3772"/>
    <w:rsid w:val="007D49CC"/>
    <w:rsid w:val="007D7B43"/>
    <w:rsid w:val="007E1483"/>
    <w:rsid w:val="007F08A2"/>
    <w:rsid w:val="007F1724"/>
    <w:rsid w:val="00802417"/>
    <w:rsid w:val="00814395"/>
    <w:rsid w:val="00820E6D"/>
    <w:rsid w:val="00832038"/>
    <w:rsid w:val="00832EE5"/>
    <w:rsid w:val="00843A24"/>
    <w:rsid w:val="00845E87"/>
    <w:rsid w:val="00851C5E"/>
    <w:rsid w:val="00867BB4"/>
    <w:rsid w:val="00870F2E"/>
    <w:rsid w:val="00876FB6"/>
    <w:rsid w:val="00877E88"/>
    <w:rsid w:val="00881374"/>
    <w:rsid w:val="00887C57"/>
    <w:rsid w:val="008976D1"/>
    <w:rsid w:val="00897CE3"/>
    <w:rsid w:val="008A78AB"/>
    <w:rsid w:val="008B35F7"/>
    <w:rsid w:val="008C1C90"/>
    <w:rsid w:val="008C3B59"/>
    <w:rsid w:val="008D1D63"/>
    <w:rsid w:val="008D5DE9"/>
    <w:rsid w:val="009064C3"/>
    <w:rsid w:val="00911F05"/>
    <w:rsid w:val="009162C8"/>
    <w:rsid w:val="00922DA0"/>
    <w:rsid w:val="00924ED3"/>
    <w:rsid w:val="0092579C"/>
    <w:rsid w:val="0092641C"/>
    <w:rsid w:val="00933502"/>
    <w:rsid w:val="009338B6"/>
    <w:rsid w:val="00935E81"/>
    <w:rsid w:val="00937C24"/>
    <w:rsid w:val="009448A2"/>
    <w:rsid w:val="00945F1F"/>
    <w:rsid w:val="009508BA"/>
    <w:rsid w:val="0095109D"/>
    <w:rsid w:val="009658B1"/>
    <w:rsid w:val="009718B5"/>
    <w:rsid w:val="009769A1"/>
    <w:rsid w:val="00982258"/>
    <w:rsid w:val="00995102"/>
    <w:rsid w:val="009952E1"/>
    <w:rsid w:val="009A3D4D"/>
    <w:rsid w:val="009A48C2"/>
    <w:rsid w:val="009B05FD"/>
    <w:rsid w:val="009B4B00"/>
    <w:rsid w:val="009B6F8A"/>
    <w:rsid w:val="009C25CA"/>
    <w:rsid w:val="009C4DE6"/>
    <w:rsid w:val="009C5330"/>
    <w:rsid w:val="009C7161"/>
    <w:rsid w:val="009E23B1"/>
    <w:rsid w:val="009E34C8"/>
    <w:rsid w:val="009E3562"/>
    <w:rsid w:val="009F33D5"/>
    <w:rsid w:val="00A01194"/>
    <w:rsid w:val="00A126C8"/>
    <w:rsid w:val="00A241A9"/>
    <w:rsid w:val="00A305D9"/>
    <w:rsid w:val="00A32739"/>
    <w:rsid w:val="00A3503C"/>
    <w:rsid w:val="00A35644"/>
    <w:rsid w:val="00A41159"/>
    <w:rsid w:val="00A438DF"/>
    <w:rsid w:val="00A51F62"/>
    <w:rsid w:val="00A532B0"/>
    <w:rsid w:val="00A53442"/>
    <w:rsid w:val="00A5405A"/>
    <w:rsid w:val="00A54ABC"/>
    <w:rsid w:val="00A63962"/>
    <w:rsid w:val="00A642C2"/>
    <w:rsid w:val="00A6430F"/>
    <w:rsid w:val="00A67CD2"/>
    <w:rsid w:val="00A7011D"/>
    <w:rsid w:val="00A73F36"/>
    <w:rsid w:val="00A95176"/>
    <w:rsid w:val="00A97C89"/>
    <w:rsid w:val="00AA0B7D"/>
    <w:rsid w:val="00AA1BE6"/>
    <w:rsid w:val="00AA3117"/>
    <w:rsid w:val="00AA582D"/>
    <w:rsid w:val="00AA587A"/>
    <w:rsid w:val="00AA70D4"/>
    <w:rsid w:val="00AB1D62"/>
    <w:rsid w:val="00AC0E51"/>
    <w:rsid w:val="00AC52F6"/>
    <w:rsid w:val="00AC5CBC"/>
    <w:rsid w:val="00AC7B99"/>
    <w:rsid w:val="00AD08F7"/>
    <w:rsid w:val="00AD2CF3"/>
    <w:rsid w:val="00AD3068"/>
    <w:rsid w:val="00AD7166"/>
    <w:rsid w:val="00AE7D44"/>
    <w:rsid w:val="00AF6C62"/>
    <w:rsid w:val="00B06415"/>
    <w:rsid w:val="00B205B5"/>
    <w:rsid w:val="00B30B60"/>
    <w:rsid w:val="00B31FBA"/>
    <w:rsid w:val="00B41324"/>
    <w:rsid w:val="00B42FBC"/>
    <w:rsid w:val="00B459D1"/>
    <w:rsid w:val="00B53554"/>
    <w:rsid w:val="00B60360"/>
    <w:rsid w:val="00B60913"/>
    <w:rsid w:val="00B6596C"/>
    <w:rsid w:val="00B6758C"/>
    <w:rsid w:val="00B67B9F"/>
    <w:rsid w:val="00B7241E"/>
    <w:rsid w:val="00B83EA1"/>
    <w:rsid w:val="00BA61D1"/>
    <w:rsid w:val="00BB19D3"/>
    <w:rsid w:val="00BB1FB4"/>
    <w:rsid w:val="00BB2E46"/>
    <w:rsid w:val="00BC3B5E"/>
    <w:rsid w:val="00BC569C"/>
    <w:rsid w:val="00BC69A3"/>
    <w:rsid w:val="00BD7ED0"/>
    <w:rsid w:val="00BE475E"/>
    <w:rsid w:val="00BE5DAF"/>
    <w:rsid w:val="00BE7813"/>
    <w:rsid w:val="00C034C5"/>
    <w:rsid w:val="00C06B2C"/>
    <w:rsid w:val="00C07087"/>
    <w:rsid w:val="00C130F9"/>
    <w:rsid w:val="00C13379"/>
    <w:rsid w:val="00C50F9E"/>
    <w:rsid w:val="00C51095"/>
    <w:rsid w:val="00C56D94"/>
    <w:rsid w:val="00C645A9"/>
    <w:rsid w:val="00C73BF5"/>
    <w:rsid w:val="00C75A62"/>
    <w:rsid w:val="00C7702E"/>
    <w:rsid w:val="00C955D2"/>
    <w:rsid w:val="00CA22B3"/>
    <w:rsid w:val="00CB191B"/>
    <w:rsid w:val="00CC1CCA"/>
    <w:rsid w:val="00CC4370"/>
    <w:rsid w:val="00CC6D68"/>
    <w:rsid w:val="00CD7021"/>
    <w:rsid w:val="00CF16BD"/>
    <w:rsid w:val="00CF6E6E"/>
    <w:rsid w:val="00D04AC0"/>
    <w:rsid w:val="00D06E75"/>
    <w:rsid w:val="00D11D29"/>
    <w:rsid w:val="00D136DD"/>
    <w:rsid w:val="00D1626A"/>
    <w:rsid w:val="00D2766A"/>
    <w:rsid w:val="00D460AA"/>
    <w:rsid w:val="00D53788"/>
    <w:rsid w:val="00D60BAA"/>
    <w:rsid w:val="00D65987"/>
    <w:rsid w:val="00D67BBB"/>
    <w:rsid w:val="00D719C1"/>
    <w:rsid w:val="00D73BA1"/>
    <w:rsid w:val="00D73D3A"/>
    <w:rsid w:val="00D73DD3"/>
    <w:rsid w:val="00D80179"/>
    <w:rsid w:val="00D84CA3"/>
    <w:rsid w:val="00DB03E1"/>
    <w:rsid w:val="00DB5D03"/>
    <w:rsid w:val="00DB703D"/>
    <w:rsid w:val="00DC04DC"/>
    <w:rsid w:val="00DC08A7"/>
    <w:rsid w:val="00DC3068"/>
    <w:rsid w:val="00DC5B5E"/>
    <w:rsid w:val="00DC7CFB"/>
    <w:rsid w:val="00DD1AA4"/>
    <w:rsid w:val="00DE02E1"/>
    <w:rsid w:val="00DE2A1B"/>
    <w:rsid w:val="00DE5A8E"/>
    <w:rsid w:val="00DF3E4B"/>
    <w:rsid w:val="00DF6503"/>
    <w:rsid w:val="00E01DE0"/>
    <w:rsid w:val="00E07D87"/>
    <w:rsid w:val="00E151E4"/>
    <w:rsid w:val="00E21B2B"/>
    <w:rsid w:val="00E40B62"/>
    <w:rsid w:val="00E42027"/>
    <w:rsid w:val="00E53D46"/>
    <w:rsid w:val="00E5451E"/>
    <w:rsid w:val="00E57A58"/>
    <w:rsid w:val="00E57B59"/>
    <w:rsid w:val="00E62E0F"/>
    <w:rsid w:val="00E661BA"/>
    <w:rsid w:val="00E91C04"/>
    <w:rsid w:val="00E92EC7"/>
    <w:rsid w:val="00E960A6"/>
    <w:rsid w:val="00E9667F"/>
    <w:rsid w:val="00EA20B0"/>
    <w:rsid w:val="00EB0FA1"/>
    <w:rsid w:val="00EB2953"/>
    <w:rsid w:val="00EB62DF"/>
    <w:rsid w:val="00EC6CA0"/>
    <w:rsid w:val="00ED10EB"/>
    <w:rsid w:val="00EE1125"/>
    <w:rsid w:val="00EF2C93"/>
    <w:rsid w:val="00F01B27"/>
    <w:rsid w:val="00F04AEF"/>
    <w:rsid w:val="00F06CBD"/>
    <w:rsid w:val="00F41292"/>
    <w:rsid w:val="00F419EC"/>
    <w:rsid w:val="00F47DDB"/>
    <w:rsid w:val="00F52076"/>
    <w:rsid w:val="00F55FD8"/>
    <w:rsid w:val="00F74B39"/>
    <w:rsid w:val="00F921D3"/>
    <w:rsid w:val="00FA10BE"/>
    <w:rsid w:val="00FA1BF1"/>
    <w:rsid w:val="00FA49AA"/>
    <w:rsid w:val="00FB0F34"/>
    <w:rsid w:val="00FB15F5"/>
    <w:rsid w:val="00FB33E5"/>
    <w:rsid w:val="00FB4897"/>
    <w:rsid w:val="00FC55A0"/>
    <w:rsid w:val="00FC71C6"/>
    <w:rsid w:val="00FD3B9F"/>
    <w:rsid w:val="00FD5AF3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18975"/>
  <w15:docId w15:val="{D7BB3FD8-5B2A-4902-BD04-47C0439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E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47"/>
  </w:style>
  <w:style w:type="paragraph" w:styleId="Footer">
    <w:name w:val="footer"/>
    <w:basedOn w:val="Normal"/>
    <w:link w:val="FooterChar"/>
    <w:uiPriority w:val="99"/>
    <w:unhideWhenUsed/>
    <w:rsid w:val="000C3E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47"/>
  </w:style>
  <w:style w:type="paragraph" w:styleId="BalloonText">
    <w:name w:val="Balloon Text"/>
    <w:basedOn w:val="Normal"/>
    <w:link w:val="BalloonTextChar"/>
    <w:uiPriority w:val="99"/>
    <w:semiHidden/>
    <w:unhideWhenUsed/>
    <w:rsid w:val="002E0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6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E5DAF"/>
    <w:rPr>
      <w:b/>
      <w:bCs/>
    </w:rPr>
  </w:style>
  <w:style w:type="character" w:styleId="Emphasis">
    <w:name w:val="Emphasis"/>
    <w:basedOn w:val="DefaultParagraphFont"/>
    <w:uiPriority w:val="20"/>
    <w:qFormat/>
    <w:rsid w:val="00BE5DAF"/>
    <w:rPr>
      <w:i/>
      <w:iCs/>
    </w:rPr>
  </w:style>
  <w:style w:type="paragraph" w:customStyle="1" w:styleId="Default">
    <w:name w:val="Default"/>
    <w:rsid w:val="00145DF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otted" w:sz="6" w:space="8" w:color="626A70"/>
            <w:right w:val="none" w:sz="0" w:space="0" w:color="auto"/>
          </w:divBdr>
          <w:divsChild>
            <w:div w:id="5899665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1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4297</Characters>
  <Application>Microsoft Office Word</Application>
  <DocSecurity>0</DocSecurity>
  <Lines>252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Oscar Martell</cp:lastModifiedBy>
  <cp:revision>2</cp:revision>
  <cp:lastPrinted>2017-07-31T06:23:00Z</cp:lastPrinted>
  <dcterms:created xsi:type="dcterms:W3CDTF">2019-06-03T07:35:00Z</dcterms:created>
  <dcterms:modified xsi:type="dcterms:W3CDTF">2019-06-03T07:35:00Z</dcterms:modified>
</cp:coreProperties>
</file>